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E903"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 w14:paraId="34370CB4"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 w14:paraId="13EE0851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 w14:paraId="1EF63006"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B87820A">
      <w:pPr>
        <w:spacing w:line="580" w:lineRule="exact"/>
        <w:jc w:val="both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</w:p>
    <w:p w14:paraId="3D3060C6">
      <w:pPr>
        <w:spacing w:line="580" w:lineRule="exact"/>
        <w:jc w:val="both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关于组织春季开学第一次主题班会的通知</w:t>
      </w:r>
      <w:bookmarkEnd w:id="0"/>
    </w:p>
    <w:p w14:paraId="30D01F3D"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 w14:paraId="337573EE">
      <w:pPr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根据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学生日常管理工作安排，现就组织开展好春季开学第一次主题班会的有关事项通知如下：</w:t>
      </w:r>
    </w:p>
    <w:p w14:paraId="740D92CC">
      <w:pPr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一、时间地点</w:t>
      </w:r>
    </w:p>
    <w:p w14:paraId="63DC2364"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2月2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-2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日，各班级时间、地点由二级学院安排。</w:t>
      </w:r>
    </w:p>
    <w:p w14:paraId="3E290937">
      <w:pPr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二、班会内容</w:t>
      </w:r>
    </w:p>
    <w:p w14:paraId="195282AB">
      <w:pPr>
        <w:ind w:left="319" w:leftChars="152" w:firstLine="320" w:firstLineChars="1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年春季开学学生工作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通知</w:t>
      </w:r>
    </w:p>
    <w:p w14:paraId="1C7931D7"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新学期反诈第一课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</w:rPr>
        <w:t>、《</w:t>
      </w:r>
      <w:r>
        <w:rPr>
          <w:rFonts w:hint="eastAsia" w:ascii="仿宋" w:hAnsi="仿宋" w:eastAsia="仿宋"/>
          <w:color w:val="000000"/>
          <w:sz w:val="32"/>
          <w:szCs w:val="32"/>
        </w:rPr>
        <w:t>节后心理健康指南》；</w:t>
      </w:r>
    </w:p>
    <w:p w14:paraId="4C0B5B0E"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3、春季学期开学心理普查；</w:t>
      </w:r>
    </w:p>
    <w:p w14:paraId="33A47B5D"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4、收心安全教育，节水节电节粮教育，班级工作布置。</w:t>
      </w:r>
    </w:p>
    <w:p w14:paraId="115C1A9F">
      <w:pPr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三、有关要求</w:t>
      </w:r>
    </w:p>
    <w:p w14:paraId="443B22DF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1、各二级学院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要高度重视、抓好落实，并于2月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日上午下班前将班会时间地点等有关安排报学生工作处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周泽宇科长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3560F5E5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2、辅导员班主任必须到场主持，确保班会不少于40分钟，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重点关注异常和违纪学生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，无故缺席的按旷课处理。</w:t>
      </w:r>
    </w:p>
    <w:p w14:paraId="298D29FF"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、学生工作处将组织专人检查，检查结果在全校通报。</w:t>
      </w:r>
    </w:p>
    <w:p w14:paraId="582AB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6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2025-02-21T01:07:11Z</dcterms:created>
  <dc:creator>Administrator</dc:creator>
  <cp:lastModifiedBy>Administrator</cp:lastModifiedBy>
  <dcterms:modified xsi:type="dcterms:W3CDTF">2025-02-21T01:07:36Z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eyJoZGlkIjoiOWMyNzNmOTdiMWUyNjIzZjQyOTA2ZmMyMGZkOGU1MTkifQ==</vt:lpwstr>
  </property>
  <property fmtid="{D5CDD505-2E9C-101B-9397-08002B2CF9AE}" pid="4" name="ICV">
    <vt:lpwstr>5077C974B04447A78E17EDBEB53DE963_12</vt:lpwstr>
  </property>
</Properties>
</file>